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INSTRUÇÃO NORMATIVA Nº 02, DE 05 DE ABRIL DE 2017.</w:t>
      </w:r>
    </w:p>
    <w:p>
      <w:pPr>
        <w:pStyle w:val="Yiv1947766938mso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Yiv1947766938msonormal"/>
        <w:widowControl/>
        <w:bidi w:val="0"/>
        <w:spacing w:before="0" w:after="0"/>
        <w:ind w:left="3969" w:right="0" w:hanging="0"/>
        <w:jc w:val="both"/>
        <w:rPr/>
      </w:pPr>
      <w:r>
        <w:rPr>
          <w:rFonts w:cs="Arial" w:ascii="Arial" w:hAnsi="Arial"/>
        </w:rPr>
        <w:t>Dispõe acerca da atuação dos Defensores Públicos do Estado do Pará nas causas com valor inferior a 20 (vinte) salários mínimos, no âmbito dos Juizados Especiais Cíveis.</w:t>
      </w:r>
    </w:p>
    <w:p>
      <w:pPr>
        <w:pStyle w:val="Yiv1947766938mso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A Defensora Pública Geral do Estado, no uso das atribuições que lhe confere o art. 8º, I, IV e VIII da Lei Complementar Nº 054, de 07 de fevereiro de 2006;</w:t>
      </w:r>
    </w:p>
    <w:p>
      <w:pPr>
        <w:pStyle w:val="Yiv1947766938mso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CONSIDERANDO a necessidade de otimização da assistência jurídica prestada pela Defensoria Pública do Estado do Pará, em face ao deficit de mais de cem defensores públicos nos quadros da carreira;</w:t>
      </w:r>
    </w:p>
    <w:p>
      <w:pPr>
        <w:pStyle w:val="Yiv1947766938mso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CONSIDERANDO a autonomia funcional e administrativa da Defensoria Pública Estadual, consubstanciada na capacidade de autogestão e de organizar, dispor e gerir os seus próprios serviços, visando a dar-lhes efetividade, continuidade e eficiência;</w:t>
      </w:r>
    </w:p>
    <w:p>
      <w:pPr>
        <w:pStyle w:val="Yiv1947766938mso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CONSIDERANDO que nos termos do art. 9º, § 1º da Lei nº. 9.099/1995 a assistência por advogado é facultada nas causas de valor até vinte salários mínimos e, se uma das partes comparecer assistida por advogado, ou se o réu for pessoa jurídica ou firma individual, terá a outra parte, se quiser, assistência judiciária prestada por órgão instituído junto ao Juizado Especial, na forma da lei local.</w:t>
      </w:r>
    </w:p>
    <w:p>
      <w:pPr>
        <w:pStyle w:val="Yiv1947766938mso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CONSIDERANDO que a assistência judiciária mencionada no dispositivo legal acima citado é mister do Poder Judiciário, mais especificamente, dos Juizados Especiais;</w:t>
      </w:r>
    </w:p>
    <w:p>
      <w:pPr>
        <w:pStyle w:val="Yiv1947766938mso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CONSIDERANDO a necessidade de priorização das demandas, cuja a atuação da Defensoria Pública é obrigatória, bem como a necessidade de estabelecer medidas transitórias com vistas a assegurar o cumprimento das atribuições institucionais da Defensoria Pública e a qualidade no atendimento ao cidadão;</w:t>
      </w:r>
    </w:p>
    <w:p>
      <w:pPr>
        <w:pStyle w:val="Yiv1947766938mso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RESOLVE:</w:t>
      </w:r>
    </w:p>
    <w:p>
      <w:pPr>
        <w:pStyle w:val="Yiv1947766938mso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Art. 1º Fica autorizada a recusa de atuação aos órgãos de execução Defensoria Pública do Estado do Pará junto aos Juizados Especiais Cíveis, nas</w:t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causas de valor até 20 (vinte) salários mínimos.</w:t>
      </w:r>
    </w:p>
    <w:p>
      <w:pPr>
        <w:pStyle w:val="Yiv1947766938mso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§ 1º É obrigatória a atuação nos casos em que a legislação pertinente assim o determinar, como na hipótese de interposição e contrarrazões de recursos.</w:t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§ 2º O disposto nesta Instrução Normativa não se aplica às causas que já estejam sob o patrocínio da Defensoria Pública.</w:t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br/>
        <w:t>Art. 2º Esta Instrução Normativa entra em vigor na data de sua publicação.</w:t>
      </w:r>
    </w:p>
    <w:p>
      <w:pPr>
        <w:pStyle w:val="Yiv1947766938mso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</w:rPr>
        <w:t>Registre-se, publique-se e cumpra-se.</w:t>
      </w:r>
    </w:p>
    <w:p>
      <w:pPr>
        <w:pStyle w:val="Yiv1947766938msonormal"/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  <w:bCs/>
          <w:color w:val="000000"/>
        </w:rPr>
        <w:t>Dê-se ciência. Cumpra-se. Publique-se.</w:t>
      </w:r>
    </w:p>
    <w:p>
      <w:pPr>
        <w:pStyle w:val="Yiv1947766938msonormal"/>
        <w:spacing w:before="0" w:after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Yiv1947766938msonormal"/>
        <w:spacing w:before="0" w:after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Yiv1947766938msonormal"/>
        <w:spacing w:before="0" w:after="0"/>
        <w:jc w:val="both"/>
        <w:rPr/>
      </w:pPr>
      <w:r>
        <w:rPr>
          <w:rFonts w:cs="Arial" w:ascii="Arial" w:hAnsi="Arial"/>
          <w:b/>
          <w:szCs w:val="28"/>
        </w:rPr>
        <w:t>JENIFFER DE BARROS RODRIGUES</w:t>
      </w:r>
    </w:p>
    <w:p>
      <w:pPr>
        <w:pStyle w:val="BodyText2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Defensora Pública Geral do Estado do Pará</w:t>
      </w:r>
    </w:p>
    <w:p>
      <w:pPr>
        <w:pStyle w:val="Yiv1947766938msonormal"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850" w:top="3074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776605" cy="68770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  <w:sz w:val="22"/>
        <w:szCs w:val="22"/>
      </w:rPr>
      <w:t>ESTADO DO PARÁ</w:t>
    </w:r>
  </w:p>
  <w:p>
    <w:pPr>
      <w:pStyle w:val="Normal"/>
      <w:pBdr>
        <w:bottom w:val="single" w:sz="4" w:space="1" w:color="000001"/>
      </w:pBdr>
      <w:jc w:val="center"/>
      <w:rPr>
        <w:rFonts w:ascii="Arial" w:hAnsi="Arial" w:cs="Arial"/>
        <w:b/>
        <w:b/>
      </w:rPr>
    </w:pPr>
    <w:r>
      <w:rPr>
        <w:rFonts w:cs="Arial" w:ascii="Arial" w:hAnsi="Arial"/>
        <w:b/>
        <w:sz w:val="22"/>
        <w:szCs w:val="22"/>
      </w:rPr>
      <w:t>DEFENSORIA PÚBLICA</w:t>
    </w:r>
  </w:p>
  <w:p>
    <w:pPr>
      <w:pStyle w:val="Normal"/>
      <w:pBdr>
        <w:bottom w:val="single" w:sz="4" w:space="1" w:color="000001"/>
      </w:pBdr>
      <w:jc w:val="center"/>
      <w:rPr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t xml:space="preserve"> </w:t>
    </w:r>
    <w:r>
      <w:rPr>
        <w:rFonts w:cs="Arial" w:ascii="Arial" w:hAnsi="Arial"/>
        <w:b/>
        <w:sz w:val="22"/>
        <w:szCs w:val="22"/>
      </w:rPr>
      <w:t>GABINETE DA DEFENSORA PÚBLICA GERAL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2">
    <w:name w:val="Título 2"/>
    <w:basedOn w:val="Normal"/>
    <w:next w:val="Normal"/>
    <w:pPr>
      <w:keepNext/>
      <w:suppressAutoHyphens w:val="true"/>
      <w:jc w:val="both"/>
      <w:outlineLvl w:val="1"/>
    </w:pPr>
    <w:rPr>
      <w:i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Yiv1947766938il">
    <w:name w:val="yiv1947766938il"/>
    <w:basedOn w:val="Fontepargpadr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Yiv2083141094msonormal">
    <w:name w:val="yiv2083141094msonormal"/>
    <w:basedOn w:val="Normal"/>
    <w:qFormat/>
    <w:pPr>
      <w:spacing w:before="280" w:after="280"/>
    </w:pPr>
    <w:rPr/>
  </w:style>
  <w:style w:type="paragraph" w:styleId="Yiv1947766938msonormal">
    <w:name w:val="yiv1947766938msonormal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suppressAutoHyphens w:val="true"/>
      <w:ind w:firstLine="1701"/>
      <w:jc w:val="both"/>
    </w:pPr>
    <w:rPr>
      <w:rFonts w:ascii="Bookman Old Style" w:hAnsi="Bookman Old Style" w:cs="Bookman Old Style"/>
      <w:sz w:val="28"/>
      <w:szCs w:val="20"/>
    </w:rPr>
  </w:style>
  <w:style w:type="paragraph" w:styleId="Cabealho">
    <w:name w:val="Cabeçalho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LibreOffice/5.0.6.3$Windows_x86 LibreOffice_project/490fc03b25318460cfc54456516ea2519c11d1aa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2016-09-26T12:35:52Z</dcterms:created>
  <dc:language>pt-BR</dc:language>
  <cp:lastPrinted>2017-04-05T09:23:54Z</cp:lastPrinted>
  <dcterms:modified xsi:type="dcterms:W3CDTF">2017-04-05T09:28:29Z</dcterms:modified>
  <cp:revision>17</cp:revision>
  <dc:title> </dc:title>
</cp:coreProperties>
</file>